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DF2391" w:rsidRDefault="00000000">
      <w:pPr>
        <w:ind w:left="450" w:right="-630" w:firstLine="990"/>
        <w:rPr>
          <w:b/>
          <w:sz w:val="28"/>
          <w:szCs w:val="28"/>
        </w:rPr>
      </w:pPr>
      <w:r>
        <w:rPr>
          <w:noProof/>
        </w:rPr>
        <w:drawing>
          <wp:anchor distT="114300" distB="114300" distL="114300" distR="114300" simplePos="0" relativeHeight="251658240" behindDoc="0" locked="0" layoutInCell="1" hidden="0" allowOverlap="1">
            <wp:simplePos x="0" y="0"/>
            <wp:positionH relativeFrom="column">
              <wp:posOffset>1838325</wp:posOffset>
            </wp:positionH>
            <wp:positionV relativeFrom="paragraph">
              <wp:posOffset>114300</wp:posOffset>
            </wp:positionV>
            <wp:extent cx="2995613" cy="81036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995613" cy="810363"/>
                    </a:xfrm>
                    <a:prstGeom prst="rect">
                      <a:avLst/>
                    </a:prstGeom>
                    <a:ln/>
                  </pic:spPr>
                </pic:pic>
              </a:graphicData>
            </a:graphic>
          </wp:anchor>
        </w:drawing>
      </w:r>
    </w:p>
    <w:p w:rsidR="00DF2391" w:rsidRDefault="00DF2391">
      <w:pPr>
        <w:pBdr>
          <w:top w:val="nil"/>
          <w:left w:val="nil"/>
          <w:bottom w:val="nil"/>
          <w:right w:val="nil"/>
          <w:between w:val="nil"/>
        </w:pBdr>
        <w:ind w:left="720" w:right="720"/>
        <w:jc w:val="center"/>
        <w:rPr>
          <w:b/>
          <w:sz w:val="28"/>
          <w:szCs w:val="28"/>
        </w:rPr>
      </w:pPr>
    </w:p>
    <w:p w:rsidR="00DF2391" w:rsidRDefault="00DF2391">
      <w:pPr>
        <w:pBdr>
          <w:top w:val="nil"/>
          <w:left w:val="nil"/>
          <w:bottom w:val="nil"/>
          <w:right w:val="nil"/>
          <w:between w:val="nil"/>
        </w:pBdr>
      </w:pPr>
    </w:p>
    <w:p w:rsidR="00DF2391" w:rsidRDefault="00DF2391">
      <w:pPr>
        <w:pBdr>
          <w:top w:val="nil"/>
          <w:left w:val="nil"/>
          <w:bottom w:val="nil"/>
          <w:right w:val="nil"/>
          <w:between w:val="nil"/>
        </w:pBdr>
        <w:ind w:firstLine="450"/>
        <w:rPr>
          <w:rFonts w:ascii="Open Sans" w:eastAsia="Open Sans" w:hAnsi="Open Sans" w:cs="Open Sans"/>
          <w:b/>
          <w:sz w:val="28"/>
          <w:szCs w:val="28"/>
        </w:rPr>
      </w:pPr>
    </w:p>
    <w:tbl>
      <w:tblPr>
        <w:tblStyle w:val="a"/>
        <w:tblW w:w="1041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710"/>
        <w:gridCol w:w="5700"/>
      </w:tblGrid>
      <w:tr w:rsidR="00DF2391">
        <w:trPr>
          <w:trHeight w:val="405"/>
        </w:trPr>
        <w:tc>
          <w:tcPr>
            <w:tcW w:w="47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F2391" w:rsidRDefault="00DF2391">
            <w:pPr>
              <w:ind w:left="-630" w:right="-450"/>
              <w:rPr>
                <w:rFonts w:ascii="Open Sans" w:eastAsia="Open Sans" w:hAnsi="Open Sans" w:cs="Open Sans"/>
                <w:b/>
                <w:sz w:val="24"/>
                <w:szCs w:val="24"/>
              </w:rPr>
            </w:pPr>
          </w:p>
        </w:tc>
        <w:tc>
          <w:tcPr>
            <w:tcW w:w="57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F239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 xml:space="preserve">Media Contact: </w:t>
            </w:r>
          </w:p>
        </w:tc>
      </w:tr>
      <w:tr w:rsidR="00DF2391">
        <w:tc>
          <w:tcPr>
            <w:tcW w:w="47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F2391" w:rsidRDefault="00000000">
            <w:pPr>
              <w:ind w:left="-630" w:right="-450"/>
              <w:rPr>
                <w:rFonts w:ascii="Open Sans" w:eastAsia="Open Sans" w:hAnsi="Open Sans" w:cs="Open Sans"/>
                <w:b/>
                <w:sz w:val="50"/>
                <w:szCs w:val="50"/>
              </w:rPr>
            </w:pPr>
            <w:r>
              <w:rPr>
                <w:rFonts w:ascii="Open Sans" w:eastAsia="Open Sans" w:hAnsi="Open Sans" w:cs="Open Sans"/>
                <w:b/>
                <w:sz w:val="50"/>
                <w:szCs w:val="50"/>
              </w:rPr>
              <w:t xml:space="preserve">    PRESS RELEASE</w:t>
            </w:r>
          </w:p>
        </w:tc>
        <w:tc>
          <w:tcPr>
            <w:tcW w:w="57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F239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proofErr w:type="spellStart"/>
            <w:r>
              <w:rPr>
                <w:rFonts w:ascii="Open Sans" w:eastAsia="Open Sans" w:hAnsi="Open Sans" w:cs="Open Sans"/>
                <w:sz w:val="24"/>
                <w:szCs w:val="24"/>
              </w:rPr>
              <w:t>Duffie</w:t>
            </w:r>
            <w:proofErr w:type="spellEnd"/>
            <w:r>
              <w:rPr>
                <w:rFonts w:ascii="Open Sans" w:eastAsia="Open Sans" w:hAnsi="Open Sans" w:cs="Open Sans"/>
                <w:sz w:val="24"/>
                <w:szCs w:val="24"/>
              </w:rPr>
              <w:t xml:space="preserve"> Dixon</w:t>
            </w:r>
          </w:p>
          <w:p w:rsidR="00DF239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Dir. of Marketing and Communications</w:t>
            </w:r>
          </w:p>
          <w:p w:rsidR="00DF239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ddixon@gwinnettpl.org</w:t>
            </w:r>
          </w:p>
          <w:p w:rsidR="00DF239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 xml:space="preserve">770-822-5325 </w:t>
            </w:r>
          </w:p>
          <w:p w:rsidR="00DF2391" w:rsidRDefault="00DF2391">
            <w:pPr>
              <w:widowControl w:val="0"/>
              <w:pBdr>
                <w:top w:val="nil"/>
                <w:left w:val="nil"/>
                <w:bottom w:val="nil"/>
                <w:right w:val="nil"/>
                <w:between w:val="nil"/>
              </w:pBdr>
              <w:spacing w:line="240" w:lineRule="auto"/>
              <w:rPr>
                <w:rFonts w:ascii="Open Sans" w:eastAsia="Open Sans" w:hAnsi="Open Sans" w:cs="Open Sans"/>
                <w:sz w:val="24"/>
                <w:szCs w:val="24"/>
              </w:rPr>
            </w:pPr>
          </w:p>
          <w:p w:rsidR="00DF2391" w:rsidRDefault="00DF2391">
            <w:pPr>
              <w:widowControl w:val="0"/>
              <w:pBdr>
                <w:top w:val="nil"/>
                <w:left w:val="nil"/>
                <w:bottom w:val="nil"/>
                <w:right w:val="nil"/>
                <w:between w:val="nil"/>
              </w:pBdr>
              <w:spacing w:line="240" w:lineRule="auto"/>
              <w:rPr>
                <w:rFonts w:ascii="Open Sans" w:eastAsia="Open Sans" w:hAnsi="Open Sans" w:cs="Open Sans"/>
                <w:sz w:val="24"/>
                <w:szCs w:val="24"/>
              </w:rPr>
            </w:pPr>
          </w:p>
          <w:p w:rsidR="00DF2391" w:rsidRDefault="00DF2391">
            <w:pPr>
              <w:widowControl w:val="0"/>
              <w:pBdr>
                <w:top w:val="nil"/>
                <w:left w:val="nil"/>
                <w:bottom w:val="nil"/>
                <w:right w:val="nil"/>
                <w:between w:val="nil"/>
              </w:pBdr>
              <w:spacing w:line="240" w:lineRule="auto"/>
              <w:rPr>
                <w:rFonts w:ascii="Open Sans" w:eastAsia="Open Sans" w:hAnsi="Open Sans" w:cs="Open Sans"/>
                <w:sz w:val="24"/>
                <w:szCs w:val="24"/>
              </w:rPr>
            </w:pPr>
          </w:p>
        </w:tc>
      </w:tr>
    </w:tbl>
    <w:p w:rsidR="00DF2391" w:rsidRDefault="00000000">
      <w:pPr>
        <w:pBdr>
          <w:top w:val="nil"/>
          <w:left w:val="nil"/>
          <w:bottom w:val="nil"/>
          <w:right w:val="nil"/>
          <w:between w:val="nil"/>
        </w:pBdr>
        <w:ind w:right="-450"/>
        <w:jc w:val="center"/>
        <w:rPr>
          <w:rFonts w:ascii="Open Sans" w:eastAsia="Open Sans" w:hAnsi="Open Sans" w:cs="Open Sans"/>
          <w:b/>
          <w:sz w:val="24"/>
          <w:szCs w:val="24"/>
        </w:rPr>
      </w:pPr>
      <w:r>
        <w:rPr>
          <w:rFonts w:ascii="Open Sans" w:eastAsia="Open Sans" w:hAnsi="Open Sans" w:cs="Open Sans"/>
          <w:b/>
          <w:sz w:val="24"/>
          <w:szCs w:val="24"/>
        </w:rPr>
        <w:t>GWINNETT COUNTY PUBLIC LIBRARY RECEIVES URBAN LIBRARIES COUNCIL’S 2024 INNOVATION AWARD IN WORKFORCE AND ECONOMIC DEVELOPMENT</w:t>
      </w:r>
    </w:p>
    <w:p w:rsidR="00DF2391" w:rsidRDefault="00DF2391">
      <w:pPr>
        <w:pBdr>
          <w:top w:val="nil"/>
          <w:left w:val="nil"/>
          <w:bottom w:val="nil"/>
          <w:right w:val="nil"/>
          <w:between w:val="nil"/>
        </w:pBdr>
        <w:spacing w:line="240" w:lineRule="auto"/>
        <w:ind w:right="-450" w:firstLine="720"/>
        <w:rPr>
          <w:rFonts w:ascii="Open Sans" w:eastAsia="Open Sans" w:hAnsi="Open Sans" w:cs="Open Sans"/>
          <w:b/>
          <w:sz w:val="24"/>
          <w:szCs w:val="24"/>
        </w:rPr>
      </w:pPr>
    </w:p>
    <w:p w:rsidR="00DF2391" w:rsidRDefault="00000000">
      <w:pPr>
        <w:spacing w:line="240" w:lineRule="auto"/>
        <w:rPr>
          <w:rFonts w:ascii="Open Sans" w:eastAsia="Open Sans" w:hAnsi="Open Sans" w:cs="Open Sans"/>
          <w:color w:val="0000FF"/>
          <w:sz w:val="24"/>
          <w:szCs w:val="24"/>
        </w:rPr>
      </w:pPr>
      <w:r>
        <w:rPr>
          <w:rFonts w:ascii="Open Sans" w:eastAsia="Open Sans" w:hAnsi="Open Sans" w:cs="Open Sans"/>
          <w:b/>
          <w:color w:val="0E101A"/>
          <w:sz w:val="24"/>
          <w:szCs w:val="24"/>
        </w:rPr>
        <w:t>October 3, 2024</w:t>
      </w:r>
      <w:r>
        <w:rPr>
          <w:rFonts w:ascii="Open Sans" w:eastAsia="Open Sans" w:hAnsi="Open Sans" w:cs="Open Sans"/>
          <w:color w:val="0E101A"/>
          <w:sz w:val="24"/>
          <w:szCs w:val="24"/>
        </w:rPr>
        <w:t xml:space="preserve"> -The Urban Libraries Council (ULC), North America’s leading nonprofit for urban libraries, has named Gwinnett County Public Library a Top Innovator for 2024. This recognition is in honor of the library’s New Start Entrepreneurial Incubator (NSEI), which offers business training and mentorship to formerly incarcerated community members. </w:t>
      </w:r>
      <w:r>
        <w:rPr>
          <w:rFonts w:ascii="Open Sans" w:eastAsia="Open Sans" w:hAnsi="Open Sans" w:cs="Open Sans"/>
          <w:color w:val="0000FF"/>
          <w:sz w:val="24"/>
          <w:szCs w:val="24"/>
        </w:rPr>
        <w:t>Originally funded by Google through a grant from the American Library Association (ALA), the six-month program helps participants build the knowledge and skills necessary to start their own businesses.</w:t>
      </w:r>
    </w:p>
    <w:p w:rsidR="00DF2391" w:rsidRDefault="00DF2391">
      <w:pPr>
        <w:spacing w:line="240" w:lineRule="auto"/>
        <w:rPr>
          <w:rFonts w:ascii="Open Sans" w:eastAsia="Open Sans" w:hAnsi="Open Sans" w:cs="Open Sans"/>
          <w:color w:val="0E101A"/>
          <w:sz w:val="24"/>
          <w:szCs w:val="24"/>
        </w:rPr>
      </w:pPr>
    </w:p>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“I’ve seen the life of each person who goes through this program change profoundly and significantly. We believe that people deserve a second chance. The New Start program gives them the tools, knowledge, and support they need to become entrepreneurs and start their own businesses,” said Charles Pace, Executive Director of Gwinnett County Public Library.</w:t>
      </w:r>
    </w:p>
    <w:p w:rsidR="00DF2391" w:rsidRDefault="00DF2391">
      <w:pPr>
        <w:spacing w:line="240" w:lineRule="auto"/>
        <w:rPr>
          <w:rFonts w:ascii="Open Sans" w:eastAsia="Open Sans" w:hAnsi="Open Sans" w:cs="Open Sans"/>
          <w:color w:val="0E101A"/>
          <w:sz w:val="24"/>
          <w:szCs w:val="24"/>
        </w:rPr>
      </w:pPr>
    </w:p>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ULC’s</w:t>
      </w:r>
      <w:hyperlink r:id="rId7">
        <w:r>
          <w:rPr>
            <w:rFonts w:ascii="Open Sans" w:eastAsia="Open Sans" w:hAnsi="Open Sans" w:cs="Open Sans"/>
            <w:color w:val="4A6EE0"/>
            <w:sz w:val="24"/>
            <w:szCs w:val="24"/>
            <w:u w:val="single"/>
          </w:rPr>
          <w:t xml:space="preserve"> Innovations Initiative</w:t>
        </w:r>
      </w:hyperlink>
      <w:r>
        <w:rPr>
          <w:rFonts w:ascii="Open Sans" w:eastAsia="Open Sans" w:hAnsi="Open Sans" w:cs="Open Sans"/>
          <w:color w:val="0E101A"/>
          <w:sz w:val="24"/>
          <w:szCs w:val="24"/>
        </w:rPr>
        <w:t xml:space="preserve"> is a yearly showcase of exemplary projects from its more than 180 member libraries across the U.S. and Canada. It seeks to highlight how the library’s role as an essential public institution is evolving to meet the changing needs of our urban communities. From initiatives that promote civic engagement and intellectual freedom to projects that enhance digital connectivity and economic mobility, libraries are at the forefront of addressing today’s challenges.</w:t>
      </w:r>
    </w:p>
    <w:p w:rsidR="00DF2391" w:rsidRDefault="00DF2391">
      <w:pPr>
        <w:spacing w:line="240" w:lineRule="auto"/>
        <w:rPr>
          <w:rFonts w:ascii="Open Sans" w:eastAsia="Open Sans" w:hAnsi="Open Sans" w:cs="Open Sans"/>
          <w:color w:val="0E101A"/>
          <w:sz w:val="24"/>
          <w:szCs w:val="24"/>
        </w:rPr>
      </w:pPr>
    </w:p>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 xml:space="preserve">A distinguished panel of judges selected Gwinnett County Public Library as a Top Innovator. The project won in the Workforce and Economic Development category for its originality, measurable outcomes, and the potential for other libraries to replicate and implement this </w:t>
      </w:r>
      <w:r>
        <w:rPr>
          <w:rFonts w:ascii="Open Sans" w:eastAsia="Open Sans" w:hAnsi="Open Sans" w:cs="Open Sans"/>
          <w:color w:val="0E101A"/>
          <w:sz w:val="24"/>
          <w:szCs w:val="24"/>
        </w:rPr>
        <w:lastRenderedPageBreak/>
        <w:t>successful initiative. More than 230 library projects in six categories were submitted by ULC members from across the U.S. and Canada to be considered for the top awards.</w:t>
      </w:r>
    </w:p>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 xml:space="preserve"> </w:t>
      </w:r>
    </w:p>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Six public libraries received the “Top Innovator” designation, and six libraries received an honorable mention recognition for their work. There is one top innovator and one honorable mention for each award category.</w:t>
      </w:r>
    </w:p>
    <w:p w:rsidR="00DF2391" w:rsidRDefault="00DF2391">
      <w:pPr>
        <w:spacing w:line="240" w:lineRule="auto"/>
        <w:rPr>
          <w:rFonts w:ascii="Open Sans" w:eastAsia="Open Sans" w:hAnsi="Open Sans" w:cs="Open Sans"/>
          <w:color w:val="0E101A"/>
          <w:sz w:val="24"/>
          <w:szCs w:val="24"/>
        </w:rPr>
      </w:pPr>
    </w:p>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 xml:space="preserve"> </w:t>
      </w:r>
    </w:p>
    <w:tbl>
      <w:tblPr>
        <w:tblStyle w:val="a0"/>
        <w:tblW w:w="10695" w:type="dxa"/>
        <w:tblBorders>
          <w:top w:val="nil"/>
          <w:left w:val="nil"/>
          <w:bottom w:val="nil"/>
          <w:right w:val="nil"/>
          <w:insideH w:val="nil"/>
          <w:insideV w:val="nil"/>
        </w:tblBorders>
        <w:tblLayout w:type="fixed"/>
        <w:tblLook w:val="0600" w:firstRow="0" w:lastRow="0" w:firstColumn="0" w:lastColumn="0" w:noHBand="1" w:noVBand="1"/>
      </w:tblPr>
      <w:tblGrid>
        <w:gridCol w:w="3585"/>
        <w:gridCol w:w="3765"/>
        <w:gridCol w:w="3345"/>
      </w:tblGrid>
      <w:tr w:rsidR="00DF2391">
        <w:trPr>
          <w:trHeight w:val="240"/>
        </w:trPr>
        <w:tc>
          <w:tcPr>
            <w:tcW w:w="35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b/>
                <w:color w:val="0E101A"/>
                <w:sz w:val="24"/>
                <w:szCs w:val="24"/>
              </w:rPr>
            </w:pPr>
            <w:r>
              <w:rPr>
                <w:rFonts w:ascii="Open Sans" w:eastAsia="Open Sans" w:hAnsi="Open Sans" w:cs="Open Sans"/>
                <w:b/>
                <w:color w:val="0E101A"/>
                <w:sz w:val="24"/>
                <w:szCs w:val="24"/>
              </w:rPr>
              <w:t>AWARD CATEGORY</w:t>
            </w:r>
          </w:p>
        </w:tc>
        <w:tc>
          <w:tcPr>
            <w:tcW w:w="37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b/>
                <w:color w:val="0E101A"/>
                <w:sz w:val="24"/>
                <w:szCs w:val="24"/>
              </w:rPr>
            </w:pPr>
            <w:r>
              <w:rPr>
                <w:rFonts w:ascii="Open Sans" w:eastAsia="Open Sans" w:hAnsi="Open Sans" w:cs="Open Sans"/>
                <w:b/>
                <w:color w:val="0E101A"/>
                <w:sz w:val="24"/>
                <w:szCs w:val="24"/>
              </w:rPr>
              <w:t>TOP INNOVATORS</w:t>
            </w:r>
          </w:p>
        </w:tc>
        <w:tc>
          <w:tcPr>
            <w:tcW w:w="334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b/>
                <w:color w:val="0E101A"/>
                <w:sz w:val="24"/>
                <w:szCs w:val="24"/>
              </w:rPr>
            </w:pPr>
            <w:r>
              <w:rPr>
                <w:rFonts w:ascii="Open Sans" w:eastAsia="Open Sans" w:hAnsi="Open Sans" w:cs="Open Sans"/>
                <w:b/>
                <w:color w:val="0E101A"/>
                <w:sz w:val="24"/>
                <w:szCs w:val="24"/>
              </w:rPr>
              <w:t>HONORABLE MENTIONS</w:t>
            </w:r>
          </w:p>
        </w:tc>
      </w:tr>
      <w:tr w:rsidR="00DF2391">
        <w:trPr>
          <w:trHeight w:val="240"/>
        </w:trPr>
        <w:tc>
          <w:tcPr>
            <w:tcW w:w="3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Advocacy and Awareness</w:t>
            </w:r>
          </w:p>
        </w:tc>
        <w:tc>
          <w:tcPr>
            <w:tcW w:w="3765" w:type="dxa"/>
            <w:tcBorders>
              <w:top w:val="nil"/>
              <w:left w:val="nil"/>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San Francisco Public Library (CA)</w:t>
            </w:r>
          </w:p>
        </w:tc>
        <w:tc>
          <w:tcPr>
            <w:tcW w:w="3345" w:type="dxa"/>
            <w:tcBorders>
              <w:top w:val="nil"/>
              <w:left w:val="nil"/>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Carnegie Library of Pittsburgh (PA)</w:t>
            </w:r>
          </w:p>
        </w:tc>
      </w:tr>
      <w:tr w:rsidR="00DF2391">
        <w:trPr>
          <w:trHeight w:val="240"/>
        </w:trPr>
        <w:tc>
          <w:tcPr>
            <w:tcW w:w="3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Education: Children and Adults</w:t>
            </w:r>
          </w:p>
        </w:tc>
        <w:tc>
          <w:tcPr>
            <w:tcW w:w="3765" w:type="dxa"/>
            <w:tcBorders>
              <w:top w:val="nil"/>
              <w:left w:val="nil"/>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Virginia Beach Public Library (VA)</w:t>
            </w:r>
          </w:p>
        </w:tc>
        <w:tc>
          <w:tcPr>
            <w:tcW w:w="3345" w:type="dxa"/>
            <w:tcBorders>
              <w:top w:val="nil"/>
              <w:left w:val="nil"/>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New York Public Library (NY)</w:t>
            </w:r>
          </w:p>
        </w:tc>
      </w:tr>
      <w:tr w:rsidR="00DF2391">
        <w:trPr>
          <w:trHeight w:val="240"/>
        </w:trPr>
        <w:tc>
          <w:tcPr>
            <w:tcW w:w="3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Equity and Inclusion</w:t>
            </w:r>
          </w:p>
        </w:tc>
        <w:tc>
          <w:tcPr>
            <w:tcW w:w="3765" w:type="dxa"/>
            <w:tcBorders>
              <w:top w:val="nil"/>
              <w:left w:val="nil"/>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Miami-Dade Public Library System (FL)</w:t>
            </w:r>
          </w:p>
        </w:tc>
        <w:tc>
          <w:tcPr>
            <w:tcW w:w="3345" w:type="dxa"/>
            <w:tcBorders>
              <w:top w:val="nil"/>
              <w:left w:val="nil"/>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Broward County Library (FL)</w:t>
            </w:r>
          </w:p>
        </w:tc>
      </w:tr>
      <w:tr w:rsidR="00DF2391">
        <w:trPr>
          <w:trHeight w:val="240"/>
        </w:trPr>
        <w:tc>
          <w:tcPr>
            <w:tcW w:w="3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Health and Wellness</w:t>
            </w:r>
          </w:p>
        </w:tc>
        <w:tc>
          <w:tcPr>
            <w:tcW w:w="3765" w:type="dxa"/>
            <w:tcBorders>
              <w:top w:val="nil"/>
              <w:left w:val="nil"/>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Denver Public Library (CO)</w:t>
            </w:r>
          </w:p>
        </w:tc>
        <w:tc>
          <w:tcPr>
            <w:tcW w:w="3345" w:type="dxa"/>
            <w:tcBorders>
              <w:top w:val="nil"/>
              <w:left w:val="nil"/>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San Mateo County Libraries (CA)</w:t>
            </w:r>
          </w:p>
        </w:tc>
      </w:tr>
      <w:tr w:rsidR="00DF2391">
        <w:trPr>
          <w:trHeight w:val="240"/>
        </w:trPr>
        <w:tc>
          <w:tcPr>
            <w:tcW w:w="3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Library Operations and Management</w:t>
            </w:r>
          </w:p>
        </w:tc>
        <w:tc>
          <w:tcPr>
            <w:tcW w:w="3765" w:type="dxa"/>
            <w:tcBorders>
              <w:top w:val="nil"/>
              <w:left w:val="nil"/>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Toronto Public Library (ON)</w:t>
            </w:r>
          </w:p>
        </w:tc>
        <w:tc>
          <w:tcPr>
            <w:tcW w:w="3345" w:type="dxa"/>
            <w:tcBorders>
              <w:top w:val="nil"/>
              <w:left w:val="nil"/>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Pioneer Library System (OK)</w:t>
            </w:r>
          </w:p>
        </w:tc>
      </w:tr>
      <w:tr w:rsidR="00DF2391">
        <w:trPr>
          <w:trHeight w:val="465"/>
        </w:trPr>
        <w:tc>
          <w:tcPr>
            <w:tcW w:w="35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Workforce and Economic Development</w:t>
            </w:r>
          </w:p>
        </w:tc>
        <w:tc>
          <w:tcPr>
            <w:tcW w:w="3765" w:type="dxa"/>
            <w:tcBorders>
              <w:top w:val="nil"/>
              <w:left w:val="nil"/>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Gwinnett County Public Library (GA)</w:t>
            </w:r>
          </w:p>
        </w:tc>
        <w:tc>
          <w:tcPr>
            <w:tcW w:w="3345" w:type="dxa"/>
            <w:tcBorders>
              <w:top w:val="nil"/>
              <w:left w:val="nil"/>
              <w:bottom w:val="single" w:sz="6" w:space="0" w:color="000000"/>
              <w:right w:val="single" w:sz="6" w:space="0" w:color="000000"/>
            </w:tcBorders>
            <w:tcMar>
              <w:top w:w="0" w:type="dxa"/>
              <w:left w:w="100" w:type="dxa"/>
              <w:bottom w:w="0" w:type="dxa"/>
              <w:right w:w="100" w:type="dxa"/>
            </w:tcMar>
          </w:tcPr>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Memphis Public Libraries (TN)</w:t>
            </w:r>
          </w:p>
        </w:tc>
      </w:tr>
    </w:tbl>
    <w:p w:rsidR="00DF2391" w:rsidRDefault="00000000">
      <w:pPr>
        <w:spacing w:line="240" w:lineRule="auto"/>
        <w:rPr>
          <w:rFonts w:ascii="Open Sans" w:eastAsia="Open Sans" w:hAnsi="Open Sans" w:cs="Open Sans"/>
          <w:i/>
          <w:color w:val="0E101A"/>
          <w:sz w:val="24"/>
          <w:szCs w:val="24"/>
        </w:rPr>
      </w:pPr>
      <w:r>
        <w:rPr>
          <w:rFonts w:ascii="Open Sans" w:eastAsia="Open Sans" w:hAnsi="Open Sans" w:cs="Open Sans"/>
          <w:i/>
          <w:color w:val="0E101A"/>
          <w:sz w:val="24"/>
          <w:szCs w:val="24"/>
        </w:rPr>
        <w:t xml:space="preserve"> </w:t>
      </w:r>
    </w:p>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“This year’s Innovation Initiative honorees exemplify the evolving role of libraries as dynamic public institutions that are integral to the fabric of our urban communities,” said ULC President and CEO Brooks Rainwater. “The innovative projects highlighted this year demonstrate the power of libraries to not only adapt but to actively shape the future of our cities, ensuring that all community members have the resources and opportunities they need to thrive.”</w:t>
      </w:r>
    </w:p>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 xml:space="preserve"> </w:t>
      </w:r>
    </w:p>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 xml:space="preserve">Information about the winning project from </w:t>
      </w:r>
      <w:r>
        <w:rPr>
          <w:rFonts w:ascii="Open Sans" w:eastAsia="Open Sans" w:hAnsi="Open Sans" w:cs="Open Sans"/>
          <w:sz w:val="24"/>
          <w:szCs w:val="24"/>
        </w:rPr>
        <w:t>Gwinnett County Public Library and th</w:t>
      </w:r>
      <w:r>
        <w:rPr>
          <w:rFonts w:ascii="Open Sans" w:eastAsia="Open Sans" w:hAnsi="Open Sans" w:cs="Open Sans"/>
          <w:color w:val="0E101A"/>
          <w:sz w:val="24"/>
          <w:szCs w:val="24"/>
        </w:rPr>
        <w:t>at of other honorees is available on the ULC website at</w:t>
      </w:r>
      <w:hyperlink r:id="rId8">
        <w:r>
          <w:rPr>
            <w:rFonts w:ascii="Open Sans" w:eastAsia="Open Sans" w:hAnsi="Open Sans" w:cs="Open Sans"/>
            <w:color w:val="0E101A"/>
            <w:sz w:val="24"/>
            <w:szCs w:val="24"/>
          </w:rPr>
          <w:t xml:space="preserve"> </w:t>
        </w:r>
      </w:hyperlink>
      <w:hyperlink r:id="rId9">
        <w:r>
          <w:rPr>
            <w:rFonts w:ascii="Open Sans" w:eastAsia="Open Sans" w:hAnsi="Open Sans" w:cs="Open Sans"/>
            <w:color w:val="467886"/>
            <w:sz w:val="24"/>
            <w:szCs w:val="24"/>
            <w:u w:val="single"/>
          </w:rPr>
          <w:t>www.urbanlibraries.org/innovations</w:t>
        </w:r>
      </w:hyperlink>
      <w:r>
        <w:rPr>
          <w:rFonts w:ascii="Open Sans" w:eastAsia="Open Sans" w:hAnsi="Open Sans" w:cs="Open Sans"/>
          <w:color w:val="0E101A"/>
          <w:sz w:val="24"/>
          <w:szCs w:val="24"/>
        </w:rPr>
        <w:t>.</w:t>
      </w:r>
    </w:p>
    <w:p w:rsidR="00DF2391" w:rsidRDefault="00DF2391">
      <w:pPr>
        <w:spacing w:line="240" w:lineRule="auto"/>
        <w:ind w:firstLine="720"/>
        <w:rPr>
          <w:rFonts w:ascii="Open Sans" w:eastAsia="Open Sans" w:hAnsi="Open Sans" w:cs="Open Sans"/>
          <w:color w:val="0E101A"/>
          <w:sz w:val="24"/>
          <w:szCs w:val="24"/>
        </w:rPr>
      </w:pPr>
    </w:p>
    <w:p w:rsidR="00DF2391" w:rsidRDefault="00DF2391">
      <w:pPr>
        <w:spacing w:line="240" w:lineRule="auto"/>
        <w:ind w:firstLine="720"/>
        <w:rPr>
          <w:rFonts w:ascii="Open Sans" w:eastAsia="Open Sans" w:hAnsi="Open Sans" w:cs="Open Sans"/>
          <w:b/>
          <w:color w:val="0E101A"/>
          <w:sz w:val="24"/>
          <w:szCs w:val="24"/>
        </w:rPr>
      </w:pPr>
    </w:p>
    <w:p w:rsidR="00DF2391" w:rsidRDefault="00000000">
      <w:pPr>
        <w:spacing w:line="240" w:lineRule="auto"/>
        <w:rPr>
          <w:rFonts w:ascii="Open Sans" w:eastAsia="Open Sans" w:hAnsi="Open Sans" w:cs="Open Sans"/>
          <w:b/>
          <w:color w:val="0E101A"/>
          <w:sz w:val="24"/>
          <w:szCs w:val="24"/>
        </w:rPr>
      </w:pPr>
      <w:r>
        <w:rPr>
          <w:rFonts w:ascii="Open Sans" w:eastAsia="Open Sans" w:hAnsi="Open Sans" w:cs="Open Sans"/>
          <w:b/>
          <w:color w:val="0E101A"/>
          <w:sz w:val="24"/>
          <w:szCs w:val="24"/>
        </w:rPr>
        <w:t>About Gwinnett County Public Library</w:t>
      </w:r>
    </w:p>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 xml:space="preserve">Gwinnett County Public Library is a free provider of education and information. Located in </w:t>
      </w:r>
    </w:p>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color w:val="0E101A"/>
          <w:sz w:val="24"/>
          <w:szCs w:val="24"/>
        </w:rPr>
        <w:t>Metro Atlanta, the Library has 15 branches that offer free access to computers and Wi-Fi, classes, materials, and programming for people of all ages. For more information about Gwinnett County Public Library programs and services, visit</w:t>
      </w:r>
      <w:hyperlink r:id="rId10">
        <w:r>
          <w:rPr>
            <w:rFonts w:ascii="Open Sans" w:eastAsia="Open Sans" w:hAnsi="Open Sans" w:cs="Open Sans"/>
            <w:color w:val="0E101A"/>
            <w:sz w:val="24"/>
            <w:szCs w:val="24"/>
          </w:rPr>
          <w:t xml:space="preserve"> </w:t>
        </w:r>
      </w:hyperlink>
      <w:hyperlink r:id="rId11">
        <w:r>
          <w:rPr>
            <w:rFonts w:ascii="Open Sans" w:eastAsia="Open Sans" w:hAnsi="Open Sans" w:cs="Open Sans"/>
            <w:color w:val="4A6EE0"/>
            <w:sz w:val="24"/>
            <w:szCs w:val="24"/>
            <w:u w:val="single"/>
          </w:rPr>
          <w:t>www.gwinnettlibrary.org</w:t>
        </w:r>
      </w:hyperlink>
      <w:r>
        <w:rPr>
          <w:rFonts w:ascii="Open Sans" w:eastAsia="Open Sans" w:hAnsi="Open Sans" w:cs="Open Sans"/>
          <w:color w:val="0E101A"/>
          <w:sz w:val="24"/>
          <w:szCs w:val="24"/>
        </w:rPr>
        <w:t>.</w:t>
      </w:r>
    </w:p>
    <w:p w:rsidR="00DF2391" w:rsidRDefault="00DF2391">
      <w:pPr>
        <w:spacing w:line="240" w:lineRule="auto"/>
        <w:rPr>
          <w:rFonts w:ascii="Open Sans" w:eastAsia="Open Sans" w:hAnsi="Open Sans" w:cs="Open Sans"/>
          <w:color w:val="0E101A"/>
          <w:sz w:val="24"/>
          <w:szCs w:val="24"/>
        </w:rPr>
      </w:pPr>
    </w:p>
    <w:p w:rsidR="00DF2391" w:rsidRDefault="00000000">
      <w:pPr>
        <w:spacing w:line="240" w:lineRule="auto"/>
        <w:rPr>
          <w:rFonts w:ascii="Open Sans" w:eastAsia="Open Sans" w:hAnsi="Open Sans" w:cs="Open Sans"/>
          <w:color w:val="0E101A"/>
          <w:sz w:val="24"/>
          <w:szCs w:val="24"/>
        </w:rPr>
      </w:pPr>
      <w:r>
        <w:rPr>
          <w:rFonts w:ascii="Open Sans" w:eastAsia="Open Sans" w:hAnsi="Open Sans" w:cs="Open Sans"/>
          <w:b/>
          <w:color w:val="0E101A"/>
          <w:sz w:val="24"/>
          <w:szCs w:val="24"/>
        </w:rPr>
        <w:t>About Urban Libraries Council</w:t>
      </w:r>
      <w:r>
        <w:rPr>
          <w:rFonts w:ascii="Open Sans" w:eastAsia="Open Sans" w:hAnsi="Open Sans" w:cs="Open Sans"/>
          <w:color w:val="0E101A"/>
          <w:sz w:val="24"/>
          <w:szCs w:val="24"/>
        </w:rPr>
        <w:t xml:space="preserve"> </w:t>
      </w:r>
    </w:p>
    <w:p w:rsidR="00DF2391" w:rsidRDefault="00000000">
      <w:pPr>
        <w:spacing w:line="240" w:lineRule="auto"/>
        <w:rPr>
          <w:rFonts w:ascii="Open Sans" w:eastAsia="Open Sans" w:hAnsi="Open Sans" w:cs="Open Sans"/>
          <w:color w:val="212121"/>
          <w:sz w:val="24"/>
          <w:szCs w:val="24"/>
        </w:rPr>
      </w:pPr>
      <w:r>
        <w:rPr>
          <w:rFonts w:ascii="Open Sans" w:eastAsia="Open Sans" w:hAnsi="Open Sans" w:cs="Open Sans"/>
          <w:color w:val="212121"/>
          <w:sz w:val="24"/>
          <w:szCs w:val="24"/>
        </w:rPr>
        <w:lastRenderedPageBreak/>
        <w:t>The Urban Libraries Council is an innovation and impact tank of North America’s leading public library systems. ULC drives cutting-edge research and strategic partnerships to elevate the power of libraries as essential, transformative institutions. Across the U.S. and Canada, more than 180 member libraries rely on ULC to identify significant challenges facing today’s communities and provide new tools and techniques to help libraries achieve stronger outcomes in education, digital equity, workforce and economic development, and race and social equity. Learn more at urbanlibraries.org.</w:t>
      </w:r>
    </w:p>
    <w:p w:rsidR="00DF2391" w:rsidRDefault="00DF2391">
      <w:pPr>
        <w:spacing w:line="240" w:lineRule="auto"/>
        <w:rPr>
          <w:rFonts w:ascii="Open Sans" w:eastAsia="Open Sans" w:hAnsi="Open Sans" w:cs="Open Sans"/>
          <w:color w:val="0E101A"/>
          <w:sz w:val="24"/>
          <w:szCs w:val="24"/>
        </w:rPr>
      </w:pPr>
    </w:p>
    <w:p w:rsidR="00DF2391" w:rsidRDefault="00000000">
      <w:pPr>
        <w:spacing w:before="240" w:after="240" w:line="240" w:lineRule="auto"/>
        <w:rPr>
          <w:rFonts w:ascii="Open Sans" w:eastAsia="Open Sans" w:hAnsi="Open Sans" w:cs="Open Sans"/>
          <w:sz w:val="24"/>
          <w:szCs w:val="24"/>
        </w:rPr>
      </w:pP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t>###</w:t>
      </w:r>
    </w:p>
    <w:sectPr w:rsidR="00DF2391">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144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222E" w:rsidRDefault="0075222E" w:rsidP="00BE1261">
      <w:pPr>
        <w:spacing w:line="240" w:lineRule="auto"/>
      </w:pPr>
      <w:r>
        <w:separator/>
      </w:r>
    </w:p>
  </w:endnote>
  <w:endnote w:type="continuationSeparator" w:id="0">
    <w:p w:rsidR="0075222E" w:rsidRDefault="0075222E" w:rsidP="00BE12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1261" w:rsidRDefault="00BE1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1261" w:rsidRDefault="00BE12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1261" w:rsidRDefault="00BE1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222E" w:rsidRDefault="0075222E" w:rsidP="00BE1261">
      <w:pPr>
        <w:spacing w:line="240" w:lineRule="auto"/>
      </w:pPr>
      <w:r>
        <w:separator/>
      </w:r>
    </w:p>
  </w:footnote>
  <w:footnote w:type="continuationSeparator" w:id="0">
    <w:p w:rsidR="0075222E" w:rsidRDefault="0075222E" w:rsidP="00BE12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1261" w:rsidRDefault="00BE12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1261" w:rsidRDefault="00BE12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1261" w:rsidRDefault="00BE12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391"/>
    <w:rsid w:val="0075222E"/>
    <w:rsid w:val="00BE1261"/>
    <w:rsid w:val="00DF2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567C8"/>
  <w15:docId w15:val="{A0D4AB5A-D4DF-2D4A-8443-218A338AF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E1261"/>
    <w:pPr>
      <w:tabs>
        <w:tab w:val="center" w:pos="4680"/>
        <w:tab w:val="right" w:pos="9360"/>
      </w:tabs>
      <w:spacing w:line="240" w:lineRule="auto"/>
    </w:pPr>
  </w:style>
  <w:style w:type="character" w:customStyle="1" w:styleId="HeaderChar">
    <w:name w:val="Header Char"/>
    <w:basedOn w:val="DefaultParagraphFont"/>
    <w:link w:val="Header"/>
    <w:uiPriority w:val="99"/>
    <w:rsid w:val="00BE1261"/>
  </w:style>
  <w:style w:type="paragraph" w:styleId="Footer">
    <w:name w:val="footer"/>
    <w:basedOn w:val="Normal"/>
    <w:link w:val="FooterChar"/>
    <w:uiPriority w:val="99"/>
    <w:unhideWhenUsed/>
    <w:rsid w:val="00BE1261"/>
    <w:pPr>
      <w:tabs>
        <w:tab w:val="center" w:pos="4680"/>
        <w:tab w:val="right" w:pos="9360"/>
      </w:tabs>
      <w:spacing w:line="240" w:lineRule="auto"/>
    </w:pPr>
  </w:style>
  <w:style w:type="character" w:customStyle="1" w:styleId="FooterChar">
    <w:name w:val="Footer Char"/>
    <w:basedOn w:val="DefaultParagraphFont"/>
    <w:link w:val="Footer"/>
    <w:uiPriority w:val="99"/>
    <w:rsid w:val="00BE1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rbanlibraries.org/innovation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rbanlibraries.org/innovations"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gwinnettlibrary.org"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www.gwinnettpl.org"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urbanlibraries.org/innovat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727</Words>
  <Characters>4144</Characters>
  <Application>Microsoft Office Word</Application>
  <DocSecurity>0</DocSecurity>
  <Lines>34</Lines>
  <Paragraphs>9</Paragraphs>
  <ScaleCrop>false</ScaleCrop>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2024-10-03T16:14:00Z</dcterms:created>
  <dcterms:modified xsi:type="dcterms:W3CDTF">2024-10-03T16:15:00Z</dcterms:modified>
</cp:coreProperties>
</file>